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AC04D8F" w:rsidP="4555BD89" w:rsidRDefault="5AC04D8F" w14:paraId="063F21FB" w14:textId="2D5CBDC7">
      <w:pPr>
        <w:pStyle w:val="Standaard"/>
        <w:suppressLineNumbers w:val="0"/>
        <w:bidi w:val="0"/>
        <w:spacing w:before="0" w:beforeAutospacing="off" w:after="160" w:afterAutospacing="off" w:line="279" w:lineRule="auto"/>
        <w:ind w:left="0" w:right="0"/>
        <w:jc w:val="left"/>
      </w:pPr>
      <w:r w:rsidR="5AC04D8F">
        <w:rPr/>
        <w:t>Checklist uitsluitingsgronden en geschiktheidseisen</w:t>
      </w:r>
    </w:p>
    <w:tbl>
      <w:tblPr>
        <w:tblStyle w:val="TableGrid"/>
        <w:tblW w:w="0" w:type="auto"/>
        <w:tblLayout w:type="fixed"/>
        <w:tblLook w:val="06A0" w:firstRow="1" w:lastRow="0" w:firstColumn="1" w:lastColumn="0" w:noHBand="1" w:noVBand="1"/>
      </w:tblPr>
      <w:tblGrid>
        <w:gridCol w:w="7230"/>
        <w:gridCol w:w="1785"/>
      </w:tblGrid>
      <w:tr w:rsidR="4555BD89" w:rsidTr="4555BD89" w14:paraId="329F6285">
        <w:trPr>
          <w:trHeight w:val="300"/>
        </w:trPr>
        <w:tc>
          <w:tcPr>
            <w:tcW w:w="7230" w:type="dxa"/>
            <w:tcMar/>
          </w:tcPr>
          <w:p w:rsidR="6238B8BC" w:rsidP="4555BD89" w:rsidRDefault="6238B8BC" w14:paraId="38E20522" w14:textId="7A1E8DD4">
            <w:pPr>
              <w:pStyle w:val="Standaard"/>
              <w:rPr>
                <w:b w:val="1"/>
                <w:bCs w:val="1"/>
              </w:rPr>
            </w:pPr>
            <w:r w:rsidRPr="4555BD89" w:rsidR="6238B8BC">
              <w:rPr>
                <w:b w:val="1"/>
                <w:bCs w:val="1"/>
              </w:rPr>
              <w:t>Onderdeel</w:t>
            </w:r>
          </w:p>
        </w:tc>
        <w:tc>
          <w:tcPr>
            <w:tcW w:w="1785" w:type="dxa"/>
            <w:tcMar/>
          </w:tcPr>
          <w:p w:rsidR="6238B8BC" w:rsidP="4555BD89" w:rsidRDefault="6238B8BC" w14:paraId="557F3474" w14:textId="38F2496C">
            <w:pPr>
              <w:pStyle w:val="Standaard"/>
              <w:rPr>
                <w:b w:val="1"/>
                <w:bCs w:val="1"/>
              </w:rPr>
            </w:pPr>
            <w:r w:rsidRPr="4555BD89" w:rsidR="6238B8BC">
              <w:rPr>
                <w:b w:val="1"/>
                <w:bCs w:val="1"/>
              </w:rPr>
              <w:t>Aangeleverd</w:t>
            </w:r>
          </w:p>
        </w:tc>
      </w:tr>
      <w:tr w:rsidR="4555BD89" w:rsidTr="4555BD89" w14:paraId="039D1F99">
        <w:trPr>
          <w:trHeight w:val="300"/>
        </w:trPr>
        <w:tc>
          <w:tcPr>
            <w:tcW w:w="7230" w:type="dxa"/>
            <w:tcMar/>
          </w:tcPr>
          <w:p w:rsidR="4591AD1A" w:rsidP="4555BD89" w:rsidRDefault="4591AD1A" w14:paraId="0F4650B9" w14:textId="362E3BDF">
            <w:pPr>
              <w:rPr>
                <w:rFonts w:ascii="Calibri" w:hAnsi="Calibri" w:eastAsia="Calibri" w:cs="Calibri"/>
                <w:b w:val="0"/>
                <w:bCs w:val="0"/>
                <w:i w:val="0"/>
                <w:iCs w:val="0"/>
                <w:caps w:val="0"/>
                <w:smallCaps w:val="0"/>
                <w:noProof w:val="0"/>
                <w:color w:val="000000" w:themeColor="text1" w:themeTint="FF" w:themeShade="FF"/>
                <w:sz w:val="22"/>
                <w:szCs w:val="22"/>
                <w:lang w:val="nl-NL"/>
              </w:rPr>
            </w:pPr>
            <w:r w:rsidRPr="4555BD89" w:rsidR="4591AD1A">
              <w:rPr>
                <w:rFonts w:ascii="Calibri" w:hAnsi="Calibri" w:eastAsia="Calibri" w:cs="Calibri"/>
                <w:b w:val="0"/>
                <w:bCs w:val="0"/>
                <w:i w:val="0"/>
                <w:iCs w:val="0"/>
                <w:caps w:val="0"/>
                <w:smallCaps w:val="0"/>
                <w:noProof w:val="0"/>
                <w:color w:val="000000" w:themeColor="text1" w:themeTint="FF" w:themeShade="FF"/>
                <w:sz w:val="22"/>
                <w:szCs w:val="22"/>
                <w:lang w:val="nl-NL"/>
              </w:rPr>
              <w:t xml:space="preserve">De inschrijver dient behoorlijk verzekerd te zijn voor aansprakelijkheid door middel van een bedrijfsaansprakelijkheidsverzekering. Deze verzekering dekt €1.125.000,- per gebeurtenis met een maximum van €2.500.000,- per kalenderjaar.  Als bewijs moet de beoogd opdrachtnemer het volgende aan de Aanbestedende dienst </w:t>
            </w:r>
            <w:r w:rsidRPr="4555BD89" w:rsidR="4591AD1A">
              <w:rPr>
                <w:rFonts w:ascii="Calibri" w:hAnsi="Calibri" w:eastAsia="Calibri" w:cs="Calibri"/>
                <w:b w:val="0"/>
                <w:bCs w:val="0"/>
                <w:i w:val="0"/>
                <w:iCs w:val="0"/>
                <w:caps w:val="0"/>
                <w:smallCaps w:val="0"/>
                <w:noProof w:val="0"/>
                <w:color w:val="000000" w:themeColor="text1" w:themeTint="FF" w:themeShade="FF"/>
                <w:sz w:val="22"/>
                <w:szCs w:val="22"/>
                <w:lang w:val="nl-NL"/>
              </w:rPr>
              <w:t xml:space="preserve">overleggen: </w:t>
            </w:r>
            <w:r w:rsidRPr="4555BD89" w:rsidR="4591AD1A">
              <w:rPr>
                <w:rFonts w:ascii="Calibri" w:hAnsi="Calibri" w:eastAsia="Calibri" w:cs="Calibri"/>
                <w:b w:val="0"/>
                <w:bCs w:val="0"/>
                <w:i w:val="0"/>
                <w:iCs w:val="0"/>
                <w:caps w:val="0"/>
                <w:smallCaps w:val="0"/>
                <w:noProof w:val="0"/>
                <w:color w:val="000000" w:themeColor="text1" w:themeTint="FF" w:themeShade="FF"/>
                <w:sz w:val="22"/>
                <w:szCs w:val="22"/>
                <w:lang w:val="nl-NL"/>
              </w:rPr>
              <w:t>Als</w:t>
            </w:r>
            <w:r w:rsidRPr="4555BD89" w:rsidR="4591AD1A">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bewijs moet de beoogd opdrachtnemer het volgende aan de Aanbestedende dienst overleggen: zie bladzijde 15 van de aanbestedingsleidraad. </w:t>
            </w:r>
          </w:p>
        </w:tc>
        <w:tc>
          <w:tcPr>
            <w:tcW w:w="1785" w:type="dxa"/>
            <w:tcMar/>
          </w:tcPr>
          <w:p w:rsidR="4555BD89" w:rsidP="4555BD89" w:rsidRDefault="4555BD89" w14:paraId="6C7B46A8" w14:textId="6419D717">
            <w:pPr>
              <w:pStyle w:val="Standaard"/>
            </w:pPr>
          </w:p>
        </w:tc>
      </w:tr>
      <w:tr w:rsidR="4555BD89" w:rsidTr="4555BD89" w14:paraId="0062FC63">
        <w:trPr>
          <w:trHeight w:val="300"/>
        </w:trPr>
        <w:tc>
          <w:tcPr>
            <w:tcW w:w="7230" w:type="dxa"/>
            <w:tcMar/>
          </w:tcPr>
          <w:p w:rsidR="4591AD1A" w:rsidP="4555BD89" w:rsidRDefault="4591AD1A" w14:paraId="65314E0C" w14:textId="2FBDCDFD">
            <w:pPr>
              <w:pStyle w:val="Standaard"/>
              <w:rPr>
                <w:sz w:val="22"/>
                <w:szCs w:val="22"/>
              </w:rPr>
            </w:pPr>
            <w:r w:rsidRPr="4555BD89" w:rsidR="4591AD1A">
              <w:rPr>
                <w:sz w:val="22"/>
                <w:szCs w:val="22"/>
              </w:rPr>
              <w:t>Ook dient inschrijver een stabiele onderneming te zijn, die haar continuïteit kan garanderen. Als bewijs moet de beoogd opdrachtnemer een (meest) recente accountantsverklaring zonder een continuïteitsparagraaf aan de Aanbestedende dienst overleggen</w:t>
            </w:r>
            <w:r w:rsidRPr="4555BD89" w:rsidR="69DC9CA6">
              <w:rPr>
                <w:sz w:val="22"/>
                <w:szCs w:val="22"/>
              </w:rPr>
              <w:t>.</w:t>
            </w:r>
          </w:p>
        </w:tc>
        <w:tc>
          <w:tcPr>
            <w:tcW w:w="1785" w:type="dxa"/>
            <w:tcMar/>
          </w:tcPr>
          <w:p w:rsidR="4555BD89" w:rsidP="4555BD89" w:rsidRDefault="4555BD89" w14:paraId="325B3576" w14:textId="6419D717">
            <w:pPr>
              <w:pStyle w:val="Standaard"/>
            </w:pPr>
          </w:p>
        </w:tc>
      </w:tr>
      <w:tr w:rsidR="4555BD89" w:rsidTr="4555BD89" w14:paraId="55FB70AC">
        <w:trPr>
          <w:trHeight w:val="300"/>
        </w:trPr>
        <w:tc>
          <w:tcPr>
            <w:tcW w:w="7230" w:type="dxa"/>
            <w:tcMar/>
          </w:tcPr>
          <w:p w:rsidR="6238B8BC" w:rsidP="4555BD89" w:rsidRDefault="6238B8BC" w14:paraId="6AC9B67B" w14:textId="6CDC3E2F">
            <w:pPr>
              <w:rPr>
                <w:rFonts w:ascii="Aptos" w:hAnsi="Aptos" w:eastAsia="Aptos" w:cs="Aptos"/>
                <w:noProof w:val="0"/>
                <w:sz w:val="22"/>
                <w:szCs w:val="22"/>
                <w:lang w:val="nl-NL"/>
              </w:rPr>
            </w:pPr>
            <w:r w:rsidRPr="4555BD89" w:rsidR="6238B8BC">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nl-NL"/>
              </w:rPr>
              <w:t>De inschrijver dient in de inschrijving een gewaarmerkt uittreksel uit het Handelsregister van de Kamer van Koophandel toe te voegen niet ouder dan zes maanden op het moment van inschrijving.</w:t>
            </w:r>
          </w:p>
        </w:tc>
        <w:tc>
          <w:tcPr>
            <w:tcW w:w="1785" w:type="dxa"/>
            <w:tcMar/>
          </w:tcPr>
          <w:p w:rsidR="4555BD89" w:rsidP="4555BD89" w:rsidRDefault="4555BD89" w14:paraId="2B2291E8" w14:textId="6419D717">
            <w:pPr>
              <w:pStyle w:val="Standaard"/>
            </w:pPr>
          </w:p>
        </w:tc>
      </w:tr>
      <w:tr w:rsidR="4555BD89" w:rsidTr="4555BD89" w14:paraId="133C268E">
        <w:trPr>
          <w:trHeight w:val="300"/>
        </w:trPr>
        <w:tc>
          <w:tcPr>
            <w:tcW w:w="7230" w:type="dxa"/>
            <w:tcMar/>
          </w:tcPr>
          <w:p w:rsidR="6238B8BC" w:rsidP="4555BD89" w:rsidRDefault="6238B8BC" w14:paraId="032E1586" w14:textId="10940E97">
            <w:pPr>
              <w:rPr>
                <w:rFonts w:ascii="Aptos" w:hAnsi="Aptos" w:eastAsia="Aptos" w:cs="Aptos"/>
                <w:noProof w:val="0"/>
                <w:sz w:val="22"/>
                <w:szCs w:val="22"/>
                <w:lang w:val="nl-NL"/>
              </w:rPr>
            </w:pP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De inschrijver dient in Deel III A van het Uniform Europees Aanbestedingsdocument te verklaren dat er geen sprake is van een in de afgelopen </w:t>
            </w:r>
            <w:r w:rsidRPr="4555BD89" w:rsidR="6238B8BC">
              <w:rPr>
                <w:rFonts w:ascii="Calibri" w:hAnsi="Calibri" w:eastAsia="Calibri" w:cs="Calibri"/>
                <w:b w:val="1"/>
                <w:bCs w:val="1"/>
                <w:i w:val="0"/>
                <w:iCs w:val="0"/>
                <w:caps w:val="0"/>
                <w:smallCaps w:val="0"/>
                <w:noProof w:val="0"/>
                <w:color w:val="000000" w:themeColor="text1" w:themeTint="FF" w:themeShade="FF"/>
                <w:sz w:val="22"/>
                <w:szCs w:val="22"/>
                <w:lang w:val="nl-NL"/>
              </w:rPr>
              <w:t xml:space="preserve">vijf (5) jaren </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onherroepelijk geworden rechterlijke uitspraak </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jegens</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inschrijver, in de zin van alle in artikel 2.86 </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Aw</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2012 beschreven gronden, op straffe van uitsluiting van deze aanbestedingsprocedure.</w:t>
            </w:r>
          </w:p>
        </w:tc>
        <w:tc>
          <w:tcPr>
            <w:tcW w:w="1785" w:type="dxa"/>
            <w:tcMar/>
          </w:tcPr>
          <w:p w:rsidR="4555BD89" w:rsidP="4555BD89" w:rsidRDefault="4555BD89" w14:paraId="60DE6791" w14:textId="6419D717">
            <w:pPr>
              <w:pStyle w:val="Standaard"/>
            </w:pPr>
          </w:p>
        </w:tc>
      </w:tr>
      <w:tr w:rsidR="4555BD89" w:rsidTr="4555BD89" w14:paraId="52783229">
        <w:trPr>
          <w:trHeight w:val="300"/>
        </w:trPr>
        <w:tc>
          <w:tcPr>
            <w:tcW w:w="7230" w:type="dxa"/>
            <w:tcMar/>
          </w:tcPr>
          <w:p w:rsidR="6238B8BC" w:rsidP="4555BD89" w:rsidRDefault="6238B8BC" w14:paraId="6E56B71B" w14:textId="24EE6AE2">
            <w:pPr>
              <w:rPr>
                <w:rFonts w:ascii="Aptos" w:hAnsi="Aptos" w:eastAsia="Aptos" w:cs="Aptos"/>
                <w:noProof w:val="0"/>
                <w:sz w:val="22"/>
                <w:szCs w:val="22"/>
                <w:lang w:val="nl-NL"/>
              </w:rPr>
            </w:pPr>
            <w:r w:rsidRPr="4555BD89" w:rsidR="6238B8BC">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nl-NL"/>
              </w:rPr>
              <w:t xml:space="preserve">De inschrijver dient daarnaast in Deel III B van het Uniform Europees Aanbestedingsdocument te verklaren dat er geen sprake is van een onherroepelijke en bindende rechterlijke of administratieve beslissing overeenkomstig de wettelijke bepalingen van het land waar de gegadigde of de inschrijver is gevestigd of overeenkomstig nationale wettelijke bepalingen is vastgesteld dat de inschrijver niet voldoet aan zijn verplichtingen tot betaling van belastingen of sociale zekerheidspremies. </w:t>
            </w:r>
            <w:r w:rsidRPr="4555BD89" w:rsidR="6238B8BC">
              <w:rPr>
                <w:rFonts w:ascii="Aptos" w:hAnsi="Aptos" w:eastAsia="Aptos" w:cs="Aptos"/>
                <w:noProof w:val="0"/>
                <w:sz w:val="22"/>
                <w:szCs w:val="22"/>
                <w:lang w:val="nl-NL"/>
              </w:rPr>
              <w:t xml:space="preserve"> </w:t>
            </w:r>
          </w:p>
        </w:tc>
        <w:tc>
          <w:tcPr>
            <w:tcW w:w="1785" w:type="dxa"/>
            <w:tcMar/>
          </w:tcPr>
          <w:p w:rsidR="4555BD89" w:rsidP="4555BD89" w:rsidRDefault="4555BD89" w14:paraId="3A233769" w14:textId="6419D717">
            <w:pPr>
              <w:pStyle w:val="Standaard"/>
            </w:pPr>
          </w:p>
        </w:tc>
      </w:tr>
      <w:tr w:rsidR="4555BD89" w:rsidTr="4555BD89" w14:paraId="4609B10F">
        <w:trPr>
          <w:trHeight w:val="300"/>
        </w:trPr>
        <w:tc>
          <w:tcPr>
            <w:tcW w:w="7230" w:type="dxa"/>
            <w:tcMar/>
          </w:tcPr>
          <w:p w:rsidR="6238B8BC" w:rsidP="4555BD89" w:rsidRDefault="6238B8BC" w14:paraId="60A10969" w14:textId="516B101D">
            <w:pPr>
              <w:rPr>
                <w:rFonts w:ascii="Aptos" w:hAnsi="Aptos" w:eastAsia="Aptos" w:cs="Aptos"/>
                <w:noProof w:val="0"/>
                <w:sz w:val="22"/>
                <w:szCs w:val="22"/>
                <w:lang w:val="nl-NL"/>
              </w:rPr>
            </w:pP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De inschrijver dient ook in Deel III C van het Uniform Europees Aanbestedingsdocument te verklaren dat geen sprake is van de situaties genoemd in artikel 2.87 </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Aw</w:t>
            </w:r>
            <w:r w:rsidRPr="4555BD89" w:rsidR="6238B8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2012. Op deze aanbestedingsprocedure zijn de volgende facultatieve uitsluitingsgronden van toepassing: zie bladzijde 13 van de aanbestedingsleidraad</w:t>
            </w:r>
            <w:r w:rsidRPr="4555BD89" w:rsidR="20C02663">
              <w:rPr>
                <w:rFonts w:ascii="Calibri" w:hAnsi="Calibri" w:eastAsia="Calibri" w:cs="Calibri"/>
                <w:b w:val="0"/>
                <w:bCs w:val="0"/>
                <w:i w:val="0"/>
                <w:iCs w:val="0"/>
                <w:caps w:val="0"/>
                <w:smallCaps w:val="0"/>
                <w:noProof w:val="0"/>
                <w:color w:val="000000" w:themeColor="text1" w:themeTint="FF" w:themeShade="FF"/>
                <w:sz w:val="22"/>
                <w:szCs w:val="22"/>
                <w:lang w:val="nl-NL"/>
              </w:rPr>
              <w:t>.</w:t>
            </w:r>
          </w:p>
        </w:tc>
        <w:tc>
          <w:tcPr>
            <w:tcW w:w="1785" w:type="dxa"/>
            <w:tcMar/>
          </w:tcPr>
          <w:p w:rsidR="4555BD89" w:rsidP="4555BD89" w:rsidRDefault="4555BD89" w14:paraId="12CD8791" w14:textId="6419D717">
            <w:pPr>
              <w:pStyle w:val="Standaard"/>
            </w:pPr>
          </w:p>
        </w:tc>
      </w:tr>
      <w:tr w:rsidR="4555BD89" w:rsidTr="4555BD89" w14:paraId="6E15BEF4">
        <w:trPr>
          <w:trHeight w:val="300"/>
        </w:trPr>
        <w:tc>
          <w:tcPr>
            <w:tcW w:w="7230" w:type="dxa"/>
            <w:tcMar/>
          </w:tcPr>
          <w:p w:rsidR="6238B8BC" w:rsidP="4555BD89" w:rsidRDefault="6238B8BC" w14:paraId="66002229" w14:textId="34D28341">
            <w:pPr>
              <w:pStyle w:val="Standaard"/>
              <w:rPr>
                <w:sz w:val="22"/>
                <w:szCs w:val="22"/>
              </w:rPr>
            </w:pPr>
            <w:r w:rsidRPr="4555BD89" w:rsidR="6238B8BC">
              <w:rPr>
                <w:sz w:val="22"/>
                <w:szCs w:val="22"/>
              </w:rPr>
              <w:t>De inschrijver dient ook in Deel III B van het Uniform Europees Aanbestedingsdocument te verklaren dat er geen sprake is van onderstaande facultatieve uitsluitingsgrond: zie bladzijde 14 van de aanbestedingsleidraad</w:t>
            </w:r>
            <w:r w:rsidRPr="4555BD89" w:rsidR="20C02663">
              <w:rPr>
                <w:sz w:val="22"/>
                <w:szCs w:val="22"/>
              </w:rPr>
              <w:t>.</w:t>
            </w:r>
          </w:p>
        </w:tc>
        <w:tc>
          <w:tcPr>
            <w:tcW w:w="1785" w:type="dxa"/>
            <w:tcMar/>
          </w:tcPr>
          <w:p w:rsidR="4555BD89" w:rsidP="4555BD89" w:rsidRDefault="4555BD89" w14:paraId="41DA0B6A" w14:textId="6419D717">
            <w:pPr>
              <w:pStyle w:val="Standaard"/>
            </w:pPr>
          </w:p>
        </w:tc>
      </w:tr>
      <w:tr w:rsidR="4555BD89" w:rsidTr="4555BD89" w14:paraId="11FCA69A">
        <w:trPr>
          <w:trHeight w:val="300"/>
        </w:trPr>
        <w:tc>
          <w:tcPr>
            <w:tcW w:w="7230" w:type="dxa"/>
            <w:tcMar/>
          </w:tcPr>
          <w:p w:rsidR="726ED1FE" w:rsidP="4555BD89" w:rsidRDefault="726ED1FE" w14:paraId="69F670D0" w14:textId="1B406E60">
            <w:pPr>
              <w:pStyle w:val="Standaard"/>
              <w:rPr>
                <w:sz w:val="22"/>
                <w:szCs w:val="22"/>
              </w:rPr>
            </w:pPr>
            <w:r w:rsidRPr="4555BD89" w:rsidR="726ED1FE">
              <w:rPr>
                <w:sz w:val="22"/>
                <w:szCs w:val="22"/>
              </w:rPr>
              <w:t xml:space="preserve">Ter bewijs van het Uniform Europees Aanbestedingsdocument moet de voorlopig gegunde inschrijver bewijsstukken </w:t>
            </w:r>
            <w:r w:rsidRPr="4555BD89" w:rsidR="726ED1FE">
              <w:rPr>
                <w:sz w:val="22"/>
                <w:szCs w:val="22"/>
              </w:rPr>
              <w:t>conform</w:t>
            </w:r>
            <w:r w:rsidRPr="4555BD89" w:rsidR="726ED1FE">
              <w:rPr>
                <w:sz w:val="22"/>
                <w:szCs w:val="22"/>
              </w:rPr>
              <w:t xml:space="preserve"> artikel 2.89 </w:t>
            </w:r>
            <w:r w:rsidRPr="4555BD89" w:rsidR="726ED1FE">
              <w:rPr>
                <w:sz w:val="22"/>
                <w:szCs w:val="22"/>
              </w:rPr>
              <w:t>Aw</w:t>
            </w:r>
            <w:r w:rsidRPr="4555BD89" w:rsidR="726ED1FE">
              <w:rPr>
                <w:sz w:val="22"/>
                <w:szCs w:val="22"/>
              </w:rPr>
              <w:t xml:space="preserve"> 2012 aan de Aanbestedende dienst overleggen: zie bladzijde 14 van de aanbestedingsleidraad</w:t>
            </w:r>
            <w:r w:rsidRPr="4555BD89" w:rsidR="45FD65C4">
              <w:rPr>
                <w:sz w:val="22"/>
                <w:szCs w:val="22"/>
              </w:rPr>
              <w:t>.</w:t>
            </w:r>
          </w:p>
        </w:tc>
        <w:tc>
          <w:tcPr>
            <w:tcW w:w="1785" w:type="dxa"/>
            <w:tcMar/>
          </w:tcPr>
          <w:p w:rsidR="4555BD89" w:rsidP="4555BD89" w:rsidRDefault="4555BD89" w14:paraId="1F078E0B" w14:textId="7C668CE2">
            <w:pPr>
              <w:pStyle w:val="Standaard"/>
            </w:pPr>
          </w:p>
        </w:tc>
      </w:tr>
      <w:tr w:rsidR="4555BD89" w:rsidTr="4555BD89" w14:paraId="1D41B540">
        <w:trPr>
          <w:trHeight w:val="300"/>
        </w:trPr>
        <w:tc>
          <w:tcPr>
            <w:tcW w:w="7230" w:type="dxa"/>
            <w:tcMar/>
          </w:tcPr>
          <w:p w:rsidR="45FD65C4" w:rsidP="4555BD89" w:rsidRDefault="45FD65C4" w14:paraId="6634E5A0" w14:textId="41673278">
            <w:pPr>
              <w:rPr>
                <w:rFonts w:ascii="Aptos" w:hAnsi="Aptos" w:eastAsia="Aptos" w:cs="Aptos"/>
                <w:noProof w:val="0"/>
                <w:sz w:val="22"/>
                <w:szCs w:val="22"/>
                <w:lang w:val="nl-NL"/>
              </w:rPr>
            </w:pPr>
            <w:r w:rsidRPr="4555BD89" w:rsidR="45FD65C4">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nl-NL"/>
              </w:rPr>
              <w:t>De inschrijver dient bij inschrijving een referentie(s) op te geven om zijn bekwaamheid aan te tonen met betrekking tot de onderstaande kerncompetentie(s). Zie bladzijde 15 van de aanbestedingsleidraad.</w:t>
            </w:r>
          </w:p>
        </w:tc>
        <w:tc>
          <w:tcPr>
            <w:tcW w:w="1785" w:type="dxa"/>
            <w:tcMar/>
          </w:tcPr>
          <w:p w:rsidR="4555BD89" w:rsidP="4555BD89" w:rsidRDefault="4555BD89" w14:paraId="3F6F76F8" w14:textId="18867753">
            <w:pPr>
              <w:pStyle w:val="Standaard"/>
            </w:pPr>
          </w:p>
        </w:tc>
      </w:tr>
      <w:tr w:rsidR="4555BD89" w:rsidTr="4555BD89" w14:paraId="2A372592">
        <w:trPr>
          <w:trHeight w:val="300"/>
        </w:trPr>
        <w:tc>
          <w:tcPr>
            <w:tcW w:w="7230" w:type="dxa"/>
            <w:tcMar/>
          </w:tcPr>
          <w:p w:rsidR="1E4543B9" w:rsidP="4555BD89" w:rsidRDefault="1E4543B9" w14:paraId="46DDAD91" w14:textId="0237CFD6">
            <w:pPr>
              <w:pStyle w:val="Standaar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nl-NL"/>
              </w:rPr>
            </w:pPr>
            <w:r w:rsidRPr="4555BD89" w:rsidR="1E4543B9">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nl-NL"/>
              </w:rPr>
              <w:t>De inschrijver dient voldoende kennis en kunde in huis te hebben om de opdracht efficiënt en vakkundig uit te voeren. Inschrijver moet minimaal beschikken over de volgende certificeringen: zie bladzijde 16 van de aanbestedingsleidraad.</w:t>
            </w:r>
          </w:p>
        </w:tc>
        <w:tc>
          <w:tcPr>
            <w:tcW w:w="1785" w:type="dxa"/>
            <w:tcMar/>
          </w:tcPr>
          <w:p w:rsidR="4555BD89" w:rsidP="4555BD89" w:rsidRDefault="4555BD89" w14:paraId="421A8B9E" w14:textId="361E595A">
            <w:pPr>
              <w:pStyle w:val="Standaard"/>
            </w:pPr>
          </w:p>
        </w:tc>
      </w:tr>
    </w:tbl>
    <w:p w:rsidR="4555BD89" w:rsidRDefault="4555BD89" w14:paraId="0DEE1D74" w14:textId="5D563486"/>
    <w:sectPr w:rsidR="00FB729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E1A8D1"/>
    <w:rsid w:val="006A0396"/>
    <w:rsid w:val="00EB62E4"/>
    <w:rsid w:val="00FB729E"/>
    <w:rsid w:val="0585E8EC"/>
    <w:rsid w:val="07A3FAAD"/>
    <w:rsid w:val="18C4C13A"/>
    <w:rsid w:val="1E4543B9"/>
    <w:rsid w:val="20C02663"/>
    <w:rsid w:val="212F10A5"/>
    <w:rsid w:val="291BB39C"/>
    <w:rsid w:val="2CE1A8D1"/>
    <w:rsid w:val="3C02BB40"/>
    <w:rsid w:val="42A702CE"/>
    <w:rsid w:val="4555BD89"/>
    <w:rsid w:val="4591AD1A"/>
    <w:rsid w:val="45FD65C4"/>
    <w:rsid w:val="5AC04D8F"/>
    <w:rsid w:val="6238B8BC"/>
    <w:rsid w:val="69DC9CA6"/>
    <w:rsid w:val="726ED1FE"/>
    <w:rsid w:val="72D47DD0"/>
    <w:rsid w:val="76EE35FB"/>
    <w:rsid w:val="791506F9"/>
    <w:rsid w:val="7E7EE24B"/>
    <w:rsid w:val="7EC38CE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0265E"/>
  <w15:chartTrackingRefBased/>
  <w15:docId w15:val="{7F78A66F-1E54-4FBA-A703-8FA8B1B6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D8732EFC33B24EB4D2E2DF5206C185" ma:contentTypeVersion="4" ma:contentTypeDescription="Create a new document." ma:contentTypeScope="" ma:versionID="793c5d645fa87fd502c9912f85956d09">
  <xsd:schema xmlns:xsd="http://www.w3.org/2001/XMLSchema" xmlns:xs="http://www.w3.org/2001/XMLSchema" xmlns:p="http://schemas.microsoft.com/office/2006/metadata/properties" xmlns:ns2="aade3035-7caa-45eb-986f-6d3247d39871" targetNamespace="http://schemas.microsoft.com/office/2006/metadata/properties" ma:root="true" ma:fieldsID="8b7142b5ea16c953eee516100bc8aa70" ns2:_="">
    <xsd:import namespace="aade3035-7caa-45eb-986f-6d3247d398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e3035-7caa-45eb-986f-6d3247d398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28ACEC-38AE-4590-9FA2-F6A6CF2E0E7F}">
  <ds:schemaRefs>
    <ds:schemaRef ds:uri="http://schemas.microsoft.com/sharepoint/v3/contenttype/forms"/>
  </ds:schemaRefs>
</ds:datastoreItem>
</file>

<file path=customXml/itemProps2.xml><?xml version="1.0" encoding="utf-8"?>
<ds:datastoreItem xmlns:ds="http://schemas.openxmlformats.org/officeDocument/2006/customXml" ds:itemID="{3A808AF4-45D0-4FAC-82EC-686471CC2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e3035-7caa-45eb-986f-6d3247d398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B6B55-518E-452D-9410-203ABAAAD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6080a10-701a-470e-b91e-3b48c4953261}" enabled="1" method="Standard" siteId="{0d67f5b7-067c-4929-956c-9614de5a5af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Dirk Schagen</dc:creator>
  <keywords/>
  <dc:description/>
  <lastModifiedBy>Dirk Schagen</lastModifiedBy>
  <revision>2</revision>
  <dcterms:created xsi:type="dcterms:W3CDTF">2025-03-03T07:27:00.0000000Z</dcterms:created>
  <dcterms:modified xsi:type="dcterms:W3CDTF">2025-03-03T07:40:00.4116319Z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0x010100DDD8732EFC33B24EB4D2E2DF5206C185</vt:lpwstr>
  </property>
</Properties>
</file>